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217B" w14:textId="77777777" w:rsidR="00380B18" w:rsidRPr="009B6999" w:rsidRDefault="00380B18" w:rsidP="00380B18">
      <w:pPr>
        <w:jc w:val="center"/>
        <w:rPr>
          <w:rFonts w:ascii="Arial" w:hAnsi="Arial" w:cs="Arial"/>
          <w:b/>
          <w:sz w:val="32"/>
          <w:szCs w:val="32"/>
        </w:rPr>
      </w:pPr>
      <w:r w:rsidRPr="009B6999">
        <w:rPr>
          <w:rFonts w:ascii="Arial" w:hAnsi="Arial" w:cs="Arial"/>
          <w:b/>
          <w:sz w:val="32"/>
          <w:szCs w:val="32"/>
        </w:rPr>
        <w:t>КГКП «Карагандинский колледж питания и сервиса»</w:t>
      </w:r>
    </w:p>
    <w:p w14:paraId="6401405A" w14:textId="77777777" w:rsidR="00380B18" w:rsidRPr="009B6999" w:rsidRDefault="00380B18" w:rsidP="00380B18">
      <w:pPr>
        <w:pStyle w:val="a3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В КГКП «Карагандинский колледж питания и сервиса» ведется обучение по специальности 10130300 – «Организация питания», квалификации: «Повар», «Кондитер-оформитель» и «Технолог». </w:t>
      </w:r>
    </w:p>
    <w:p w14:paraId="1F0EA047" w14:textId="77777777" w:rsidR="00380B18" w:rsidRPr="009B6999" w:rsidRDefault="00192AAB" w:rsidP="00380B18">
      <w:pPr>
        <w:pStyle w:val="a3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</w:pP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202</w:t>
      </w: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>5</w:t>
      </w: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-202</w:t>
      </w: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>6</w:t>
      </w:r>
      <w:r w:rsidR="00380B18"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учебном году контингент составляет </w:t>
      </w:r>
      <w:r w:rsidR="009B6999" w:rsidRPr="009B6999">
        <w:rPr>
          <w:rFonts w:ascii="Arial" w:hAnsi="Arial" w:cs="Arial"/>
          <w:b/>
          <w:i/>
          <w:color w:val="000000"/>
          <w:spacing w:val="2"/>
          <w:sz w:val="32"/>
          <w:szCs w:val="32"/>
          <w:shd w:val="clear" w:color="auto" w:fill="FFFFFF"/>
          <w:lang w:val="kk-KZ"/>
        </w:rPr>
        <w:t>780</w:t>
      </w:r>
      <w:r w:rsidR="00380B18" w:rsidRPr="009B6999">
        <w:rPr>
          <w:rFonts w:ascii="Arial" w:hAnsi="Arial" w:cs="Arial"/>
          <w:b/>
          <w:i/>
          <w:color w:val="000000"/>
          <w:spacing w:val="2"/>
          <w:sz w:val="32"/>
          <w:szCs w:val="32"/>
          <w:shd w:val="clear" w:color="auto" w:fill="FFFFFF"/>
        </w:rPr>
        <w:t xml:space="preserve"> обучающихся</w:t>
      </w:r>
      <w:r w:rsidR="00380B18"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. </w:t>
      </w:r>
      <w:r w:rsidR="00380B18"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>Из них</w:t>
      </w:r>
      <w:r w:rsidR="00380B18"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, </w:t>
      </w:r>
      <w:r w:rsidR="009B6999" w:rsidRPr="009B6999">
        <w:rPr>
          <w:rFonts w:ascii="Arial" w:hAnsi="Arial" w:cs="Arial"/>
          <w:b/>
          <w:i/>
          <w:color w:val="000000"/>
          <w:spacing w:val="2"/>
          <w:sz w:val="32"/>
          <w:szCs w:val="32"/>
          <w:shd w:val="clear" w:color="auto" w:fill="FFFFFF"/>
          <w:lang w:val="kk-KZ"/>
        </w:rPr>
        <w:t>669 по государственному заказу</w:t>
      </w:r>
      <w:r w:rsidRPr="009B6999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>.</w:t>
      </w:r>
    </w:p>
    <w:p w14:paraId="1C30B770" w14:textId="77777777" w:rsidR="009B6999" w:rsidRPr="009B6999" w:rsidRDefault="009B6999" w:rsidP="009B69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Р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абота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колледжа по </w:t>
      </w:r>
      <w:r w:rsidRPr="009B6999">
        <w:rPr>
          <w:rFonts w:ascii="Arial" w:eastAsia="Times New Roman" w:hAnsi="Arial" w:cs="Arial"/>
          <w:b/>
          <w:sz w:val="32"/>
          <w:szCs w:val="32"/>
          <w:lang w:eastAsia="ru-RU"/>
        </w:rPr>
        <w:t>дуальному обучению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и развитию социального партнёрства направлена на повышение качества подготовки специалистов, обеспечение практико-ориентированного обучения и содействие трудоустройству выпускников.</w:t>
      </w:r>
    </w:p>
    <w:p w14:paraId="13FA0D6C" w14:textId="77777777" w:rsidR="009B6999" w:rsidRPr="009B6999" w:rsidRDefault="009B6999" w:rsidP="009B699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eastAsia="ru-RU"/>
        </w:rPr>
        <w:t>Основное внимание уделяется: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расширению сети социальных партнёров;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организации дуального обучения с ведущими предприятиями региона;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развитию шефских связей и целевого госзаказа.</w:t>
      </w:r>
    </w:p>
    <w:p w14:paraId="7AE19184" w14:textId="77777777" w:rsidR="009B6999" w:rsidRPr="009B6999" w:rsidRDefault="009B6999" w:rsidP="009B6999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F31A1B">
        <w:rPr>
          <w:rFonts w:ascii="Arial" w:eastAsia="Times New Roman" w:hAnsi="Arial" w:cs="Arial"/>
          <w:b/>
          <w:i/>
          <w:sz w:val="32"/>
          <w:szCs w:val="32"/>
          <w:lang w:eastAsia="ru-RU"/>
        </w:rPr>
        <w:t>Социальные партнёры: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F31A1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Общее количество социальных партнеров – 120.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В 2025 году заключено более 40 договоров о сотрудничестве:</w:t>
      </w:r>
      <w:r w:rsidRPr="009B6999">
        <w:rPr>
          <w:rFonts w:ascii="Arial" w:hAnsi="Arial" w:cs="Arial"/>
          <w:color w:val="000000"/>
          <w:sz w:val="32"/>
          <w:szCs w:val="32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ИП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Панорама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»,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ресторан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Ребро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; ИП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Минко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; ИП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Мырзатай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Айбол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Амантайулы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»,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Супермаркет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Норма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,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ресторан «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Baurdaq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,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ресторан 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Шашлык House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»,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ТОО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Соотечественники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»,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ресторан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Братья 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Мушкины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, кафе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Карагандинец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», Ресторан  Sadre ресторан «Degirmen», ресторан «О’Маre», ИП Наурызбаева, ИП Нуржанова А.К., ИП Тасполатова, ТОО Али Жас и К, ТОО Спектр, Кафе «Царь Тигран», ресторан «Piano», ресторан «VillaBorgeza», ресторан «Ариста», ТОО «Ишметов», Кафе «Сытнофф», Кофейня «Угол 1934»,  Республиканское объединение индивидуальных предпринимателей и юридических лиц «Ассоциация розничной торговли и общественного питания», кафе-кондитерская «Danisima»</w:t>
      </w:r>
    </w:p>
    <w:p w14:paraId="3A987861" w14:textId="77777777" w:rsidR="009B6999" w:rsidRPr="009B6999" w:rsidRDefault="009B6999" w:rsidP="009B69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9B6999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Целевой госзаказ: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163 студентов (ИП «Мырзатай Айбол Амантайулы», ИП «Наурузбаева», ИП «Тасполатова», ИП «Нуржанова А.К.», ТОО «Али Жас и К», ТОО «Спектр», ТОО «Соотечественники», ИП «Искалиева», ИП «Искакова», ИП «Сейтова», ИП «Бабакулов», ИП «Саттибаева», КХ «Нариман», ТОО «Астана Анил», ИП «Киречевский», ИП «Суханова» и тд.).</w:t>
      </w:r>
    </w:p>
    <w:p w14:paraId="064EEBCC" w14:textId="77777777" w:rsidR="009B6999" w:rsidRPr="009B6999" w:rsidRDefault="009B6999" w:rsidP="009B69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В 2025 году охват студентов </w:t>
      </w:r>
      <w:r w:rsidRPr="009B6999">
        <w:rPr>
          <w:rFonts w:ascii="Arial" w:eastAsia="Times New Roman" w:hAnsi="Arial" w:cs="Arial"/>
          <w:b/>
          <w:i/>
          <w:sz w:val="32"/>
          <w:szCs w:val="32"/>
          <w:lang w:eastAsia="ru-RU"/>
        </w:rPr>
        <w:t>дуальным обучением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составил 406 человек, что на 187 студентов больше, чем в 2024 году (219 студентов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).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Таким образом, прирост составил 85,5% по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сравнению с предыдущим учебным годом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.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О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т общего количество контингента -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53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,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4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%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Социальные партнеры по дуальному обучению: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ИП «Мырзатай Айбол Амантайулы», ИП «Наурузбаева», ИП «Тасполатова», ИП «Нуржанова А.К.», ТОО «Али Жас и К», ТОО «Спектр», ТОО «Соотечественники», ИП «Искалиева», ИП «Искакова», ИП «Сейтова», ИП «Бабакулов», ИП «Саттибаева», КХ «Нариман», ТОО «Астана Анил», ИП «Киречевский», ИП «Суханова» и тд</w:t>
      </w:r>
    </w:p>
    <w:p w14:paraId="1CB89A53" w14:textId="77777777" w:rsidR="009B6999" w:rsidRPr="009B6999" w:rsidRDefault="009B6999" w:rsidP="009B6999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B6999">
        <w:rPr>
          <w:rFonts w:ascii="Arial" w:hAnsi="Arial" w:cs="Arial"/>
          <w:sz w:val="32"/>
        </w:rPr>
        <w:t xml:space="preserve">По итогам мониторинга прогнозного трудоустройства выпускников за 2025 годы. </w:t>
      </w:r>
    </w:p>
    <w:p w14:paraId="710511E1" w14:textId="77777777" w:rsidR="009B6999" w:rsidRPr="009B6999" w:rsidRDefault="009B6999" w:rsidP="009B69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В 2025 году отмечен самый высокий уровень трудоустройства – </w:t>
      </w:r>
      <w:r w:rsidRPr="009B69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83,6%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, из которых </w:t>
      </w:r>
      <w:r w:rsidRPr="009B69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68,9%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трудоустроены по специальности. Отмечается положительная динамика по продолжению обучения в ВУЗах: в 2025 году 12 выпускников продолжили обучение. </w:t>
      </w:r>
    </w:p>
    <w:p w14:paraId="6A8BD9A0" w14:textId="77777777" w:rsidR="009B6999" w:rsidRPr="009B6999" w:rsidRDefault="009B6999" w:rsidP="009B69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eastAsia="ru-RU"/>
        </w:rPr>
        <w:t>Снижается количество призванных в ВС РК – 4 чел. и студентов, находящихся в декретном отпуске – 2чел., что положительно влияет на общую статистику по трудоустройству.</w:t>
      </w:r>
    </w:p>
    <w:p w14:paraId="1228B6C1" w14:textId="77777777" w:rsidR="009B6999" w:rsidRPr="009B6999" w:rsidRDefault="009B6999" w:rsidP="009B6999">
      <w:pPr>
        <w:pStyle w:val="a3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</w:pPr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С целью содействия трудоустройству выпускников ежегодно планируется производственная практика по месту будущего трудоустройства: целенаправленное распределение студентов по вакантным местам. Уже в процессе практики студенты трудоустроены и получают заработную плату. Ежегодно проводится Форум работодателей сферы общественного питания – это проведение встреч и круглых столов с бизнесом 1–2 раза в год для обсуждения кадровых потребностей, проводится Ярмарка вакансий, колледж реализует Дуальное обучение с участием работодателей в образовательном процессе, вовлекает наставников с предприятий в процесс подготовки студентов.</w:t>
      </w:r>
    </w:p>
    <w:p w14:paraId="3EF7C59B" w14:textId="77777777" w:rsidR="009B6999" w:rsidRPr="009B6999" w:rsidRDefault="009B6999" w:rsidP="009B6999">
      <w:pPr>
        <w:pStyle w:val="a3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</w:pPr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70% трудоустроенных выпускников работают у социальных партнеров колледжа (Китайский ресторан «Турандот», Семейный ресторан «</w:t>
      </w:r>
      <w:proofErr w:type="spellStart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Балапан</w:t>
      </w:r>
      <w:proofErr w:type="spellEnd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 xml:space="preserve"> парк», Ресторан «</w:t>
      </w:r>
      <w:proofErr w:type="spellStart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Еуропа</w:t>
      </w:r>
      <w:proofErr w:type="spellEnd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», Ресторан «Вояж», компания по доставке суши и пиццы «Банзай», сеть кафетерии «Касса Кофе», Семейный ресторан «</w:t>
      </w:r>
      <w:proofErr w:type="spellStart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Асыл</w:t>
      </w:r>
      <w:proofErr w:type="spellEnd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 xml:space="preserve"> уя» и </w:t>
      </w:r>
      <w:proofErr w:type="spellStart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тд</w:t>
      </w:r>
      <w:proofErr w:type="spellEnd"/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 xml:space="preserve">.) </w:t>
      </w:r>
    </w:p>
    <w:p w14:paraId="4264ADB1" w14:textId="77777777" w:rsidR="009B6999" w:rsidRPr="009B6999" w:rsidRDefault="009B6999" w:rsidP="009B6999">
      <w:pPr>
        <w:pStyle w:val="a3"/>
        <w:spacing w:after="0" w:line="240" w:lineRule="auto"/>
        <w:ind w:left="0" w:firstLine="567"/>
        <w:jc w:val="both"/>
        <w:textAlignment w:val="baseline"/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</w:pPr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 xml:space="preserve">Колледж активно ведет работу по </w:t>
      </w:r>
      <w:r w:rsidRPr="00F31A1B">
        <w:rPr>
          <w:rFonts w:ascii="Arial" w:hAnsi="Arial" w:cs="Arial"/>
          <w:b/>
          <w:i/>
          <w:color w:val="000000"/>
          <w:spacing w:val="2"/>
          <w:sz w:val="32"/>
          <w:szCs w:val="28"/>
          <w:shd w:val="clear" w:color="auto" w:fill="FFFFFF"/>
        </w:rPr>
        <w:t>международным стажировкам студентов и ИПР</w:t>
      </w:r>
      <w:r w:rsidRPr="009B6999">
        <w:rPr>
          <w:rFonts w:ascii="Arial" w:hAnsi="Arial" w:cs="Arial"/>
          <w:color w:val="000000"/>
          <w:spacing w:val="2"/>
          <w:sz w:val="32"/>
          <w:szCs w:val="28"/>
          <w:shd w:val="clear" w:color="auto" w:fill="FFFFFF"/>
        </w:rPr>
        <w:t>. В 2024 году 2 студента проходили международную стажировку в Турции. В текущем году на международную стажировку в Турцию отправили 5 студентов и 2 ИПР.</w:t>
      </w:r>
    </w:p>
    <w:p w14:paraId="2B6825BC" w14:textId="77777777" w:rsidR="00F31A1B" w:rsidRPr="009B6999" w:rsidRDefault="00F31A1B" w:rsidP="00F31A1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b/>
          <w:bCs/>
          <w:sz w:val="32"/>
          <w:szCs w:val="32"/>
          <w:lang w:eastAsia="ru-RU"/>
        </w:rPr>
        <w:lastRenderedPageBreak/>
        <w:t>Вывод: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количество социальных партнёров ежегодно увеличивается, что расширяет возможности для прохождения практики, стажировок и трудоустройства студентов.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Охват по д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уально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му 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обучени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ю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>увеличивается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. Партнёрские организации предоставляют рабочие места и наставников, что способствует формированию профессиональных компетенций студентов.</w:t>
      </w:r>
    </w:p>
    <w:p w14:paraId="557C6D3F" w14:textId="77777777" w:rsidR="00F31A1B" w:rsidRPr="009B6999" w:rsidRDefault="00F31A1B" w:rsidP="00F31A1B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B6999">
        <w:rPr>
          <w:rFonts w:ascii="Arial" w:eastAsia="Times New Roman" w:hAnsi="Arial" w:cs="Arial"/>
          <w:sz w:val="32"/>
          <w:szCs w:val="32"/>
          <w:lang w:eastAsia="ru-RU"/>
        </w:rPr>
        <w:t>Наблюдается рост числа социальных партнёров и повышение качества взаимодействия с предприятиями.</w:t>
      </w:r>
      <w:r w:rsidRPr="009B699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 xml:space="preserve">Расширяется спектр предприятий: от пищевых производств до </w:t>
      </w:r>
      <w:proofErr w:type="spellStart"/>
      <w:r w:rsidRPr="009B6999">
        <w:rPr>
          <w:rFonts w:ascii="Arial" w:eastAsia="Times New Roman" w:hAnsi="Arial" w:cs="Arial"/>
          <w:sz w:val="32"/>
          <w:szCs w:val="32"/>
          <w:lang w:eastAsia="ru-RU"/>
        </w:rPr>
        <w:t>гостинично</w:t>
      </w:r>
      <w:proofErr w:type="spellEnd"/>
      <w:r w:rsidRPr="009B6999">
        <w:rPr>
          <w:rFonts w:ascii="Arial" w:eastAsia="Times New Roman" w:hAnsi="Arial" w:cs="Arial"/>
          <w:sz w:val="32"/>
          <w:szCs w:val="32"/>
          <w:lang w:eastAsia="ru-RU"/>
        </w:rPr>
        <w:t>-ресторанного бизнеса.</w:t>
      </w:r>
      <w:r w:rsidRPr="009B6999">
        <w:rPr>
          <w:rFonts w:ascii="Arial" w:hAnsi="Arial" w:cs="Arial"/>
          <w:sz w:val="32"/>
          <w:szCs w:val="32"/>
        </w:rPr>
        <w:t xml:space="preserve"> </w:t>
      </w:r>
      <w:r w:rsidRPr="009B6999">
        <w:rPr>
          <w:rFonts w:ascii="Arial" w:eastAsia="Times New Roman" w:hAnsi="Arial" w:cs="Arial"/>
          <w:sz w:val="32"/>
          <w:szCs w:val="32"/>
          <w:lang w:eastAsia="ru-RU"/>
        </w:rPr>
        <w:t>Целевой госзаказ ежегодно увеличивается, что подтверждает востребованность выпускников колледжа.</w:t>
      </w:r>
    </w:p>
    <w:p w14:paraId="2177DC76" w14:textId="77777777" w:rsidR="009B6999" w:rsidRDefault="009B6999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0E5154CA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612E8C84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51D19A90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712374C1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78430646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3E549681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4E1E9C11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075623C7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0EA7367A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3FE1AE1A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4FE0F5BC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0440026B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14:paraId="26A98389" w14:textId="77777777" w:rsidR="00F31A1B" w:rsidRDefault="00F31A1B" w:rsidP="00AC16D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sectPr w:rsidR="00F31A1B" w:rsidSect="00B67F5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4ACC"/>
    <w:multiLevelType w:val="multilevel"/>
    <w:tmpl w:val="1B454A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441E3"/>
    <w:multiLevelType w:val="multilevel"/>
    <w:tmpl w:val="B3E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918F9"/>
    <w:multiLevelType w:val="hybridMultilevel"/>
    <w:tmpl w:val="8F7ACC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A53"/>
    <w:multiLevelType w:val="hybridMultilevel"/>
    <w:tmpl w:val="785003AE"/>
    <w:lvl w:ilvl="0" w:tplc="807EE3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77102306">
    <w:abstractNumId w:val="3"/>
  </w:num>
  <w:num w:numId="2" w16cid:durableId="1330450350">
    <w:abstractNumId w:val="1"/>
  </w:num>
  <w:num w:numId="3" w16cid:durableId="1006713338">
    <w:abstractNumId w:val="2"/>
  </w:num>
  <w:num w:numId="4" w16cid:durableId="112599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8"/>
    <w:rsid w:val="00192AAB"/>
    <w:rsid w:val="00380B18"/>
    <w:rsid w:val="00486222"/>
    <w:rsid w:val="004A3623"/>
    <w:rsid w:val="004F1E6A"/>
    <w:rsid w:val="005E6AC6"/>
    <w:rsid w:val="006A3EFE"/>
    <w:rsid w:val="0077761C"/>
    <w:rsid w:val="007B1917"/>
    <w:rsid w:val="00977B2B"/>
    <w:rsid w:val="009B6999"/>
    <w:rsid w:val="00A11104"/>
    <w:rsid w:val="00A949E8"/>
    <w:rsid w:val="00AC16D3"/>
    <w:rsid w:val="00B67F5D"/>
    <w:rsid w:val="00CE296C"/>
    <w:rsid w:val="00F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73F0"/>
  <w15:chartTrackingRefBased/>
  <w15:docId w15:val="{79A3B187-A66A-4279-8539-79A3EA33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List Paragraph,без абзаца,Table Heading,Bullets,List Paragraph (numbered (a)),List Paragraph1,Resume Title,heading 4,Citation List,Ha,Heading1,Colorful List - Accent 11,ненум_список,References,NUMBERED PARAGRAPH"/>
    <w:basedOn w:val="a"/>
    <w:link w:val="a4"/>
    <w:uiPriority w:val="34"/>
    <w:qFormat/>
    <w:rsid w:val="00380B18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,List Paragraph Знак,без абзаца Знак,Table Heading Знак,Bullets Знак,List Paragraph (numbered (a)) Знак,List Paragraph1 Знак,Resume Title Знак,heading 4 Знак,Citation List Знак,Ha Знак,Heading1 Знак"/>
    <w:link w:val="a3"/>
    <w:uiPriority w:val="34"/>
    <w:qFormat/>
    <w:locked/>
    <w:rsid w:val="00380B18"/>
  </w:style>
  <w:style w:type="table" w:styleId="a5">
    <w:name w:val="Table Grid"/>
    <w:basedOn w:val="a1"/>
    <w:uiPriority w:val="39"/>
    <w:qFormat/>
    <w:rsid w:val="0038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E6AC6"/>
    <w:rPr>
      <w:b/>
      <w:bCs/>
    </w:rPr>
  </w:style>
  <w:style w:type="paragraph" w:styleId="a7">
    <w:name w:val="No Spacing"/>
    <w:aliases w:val="Обя,мелкий,мой рабочий,норма,Айгерим,No Spacing1,свой,Без интервала1,No Spacing,Без интервала11,УКЗ и СП,МОЙ СТИЛЬ,14 TNR,Без интеБез интервала,Без интерваль,Елжан,No Spacing11,Без интервала111,исполнитель,ААА,основа,ТекстОтчета,СНОСКИ,Али"/>
    <w:link w:val="a8"/>
    <w:uiPriority w:val="1"/>
    <w:qFormat/>
    <w:rsid w:val="00F31A1B"/>
    <w:pPr>
      <w:spacing w:after="0" w:line="240" w:lineRule="auto"/>
    </w:pPr>
  </w:style>
  <w:style w:type="character" w:customStyle="1" w:styleId="a8">
    <w:name w:val="Без интервала Знак"/>
    <w:aliases w:val="Обя Знак,мелкий Знак,мой рабочий Знак,норма Знак,Айгерим Знак,No Spacing1 Знак,свой Знак,Без интервала1 Знак,No Spacing Знак,Без интервала11 Знак,УКЗ и СП Знак,МОЙ СТИЛЬ Знак,14 TNR Знак,Без интеБез интервала Знак,Без интерваль Знак"/>
    <w:link w:val="a7"/>
    <w:uiPriority w:val="1"/>
    <w:qFormat/>
    <w:locked/>
    <w:rsid w:val="00F31A1B"/>
  </w:style>
  <w:style w:type="paragraph" w:styleId="a9">
    <w:name w:val="Normal (Web)"/>
    <w:basedOn w:val="a"/>
    <w:uiPriority w:val="99"/>
    <w:unhideWhenUsed/>
    <w:rsid w:val="006A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USER3</cp:lastModifiedBy>
  <cp:revision>4</cp:revision>
  <dcterms:created xsi:type="dcterms:W3CDTF">2025-10-31T06:27:00Z</dcterms:created>
  <dcterms:modified xsi:type="dcterms:W3CDTF">2026-02-17T05:22:00Z</dcterms:modified>
</cp:coreProperties>
</file>